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članom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344.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(„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Sl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RS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36/2011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99/2011),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Odluke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sazivanju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vanredne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“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održava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86903">
        <w:rPr>
          <w:rFonts w:ascii="Arial Narrow" w:hAnsi="Arial Narrow" w:cs="Arial"/>
          <w:b/>
          <w:noProof/>
          <w:sz w:val="16"/>
          <w:szCs w:val="16"/>
          <w:lang w:val="sr-Latn-CS"/>
        </w:rPr>
        <w:t>0</w:t>
      </w:r>
      <w:r w:rsidR="0035242F">
        <w:rPr>
          <w:rFonts w:ascii="Arial Narrow" w:hAnsi="Arial Narrow" w:cs="Arial"/>
          <w:b/>
          <w:noProof/>
          <w:sz w:val="16"/>
          <w:szCs w:val="16"/>
          <w:lang w:val="sr-Latn-CS"/>
        </w:rPr>
        <w:t>4</w:t>
      </w:r>
      <w:r w:rsidR="00386903">
        <w:rPr>
          <w:rFonts w:ascii="Arial Narrow" w:hAnsi="Arial Narrow" w:cs="Arial"/>
          <w:b/>
          <w:noProof/>
          <w:sz w:val="16"/>
          <w:szCs w:val="16"/>
          <w:lang w:val="sr-Latn-CS"/>
        </w:rPr>
        <w:t>.05.2017</w:t>
      </w:r>
      <w:r w:rsidR="00201AA6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.</w:t>
      </w:r>
      <w:r w:rsidR="0062521B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prostorijama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>društva</w:t>
      </w:r>
      <w:r w:rsidR="00B83C5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Svetozara Miletića  br. 198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početkom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4A4FF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1</w:t>
      </w:r>
      <w:r w:rsidR="00BF7731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2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,00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časova</w:t>
      </w:r>
    </w:p>
    <w:p w:rsidR="00846D32" w:rsidRPr="003C67BF" w:rsidRDefault="00311732" w:rsidP="003D2F1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</w:p>
    <w:p w:rsidR="00CD3903" w:rsidRPr="003C67BF" w:rsidRDefault="00CD3903" w:rsidP="003D2F12">
      <w:pPr>
        <w:spacing w:before="120" w:after="4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____________________________________,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JMBG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MB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:_____________________; 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ul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. _________________________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br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. ______ ,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koga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zastupa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________________________________________________</w:t>
      </w:r>
    </w:p>
    <w:p w:rsidR="00846D32" w:rsidRPr="003C67BF" w:rsidRDefault="00846D32" w:rsidP="00CD3903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jedinstveni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građana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pasoša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pradno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registracije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311732" w:rsidP="003D2F12">
      <w:pPr>
        <w:spacing w:after="2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obaveštenju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Nadzornog</w:t>
      </w:r>
      <w:r w:rsidR="0097755A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odbora</w:t>
      </w:r>
      <w:r w:rsidR="0097755A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F4144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4A4FF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5242F">
        <w:rPr>
          <w:rFonts w:ascii="Arial Narrow" w:hAnsi="Arial Narrow" w:cs="Arial"/>
          <w:b/>
          <w:noProof/>
          <w:sz w:val="16"/>
          <w:szCs w:val="16"/>
          <w:lang w:val="sr-Latn-CS"/>
        </w:rPr>
        <w:t>11.04.2017.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</w:p>
    <w:p w:rsidR="003C67BF" w:rsidRDefault="003C67BF" w:rsidP="003D2F12">
      <w:pPr>
        <w:spacing w:after="0" w:line="24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3C67BF" w:rsidRDefault="003C67BF" w:rsidP="003D2F12">
      <w:pPr>
        <w:spacing w:after="0" w:line="24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846D32" w:rsidRPr="003C67BF" w:rsidRDefault="00311732" w:rsidP="003D2F12">
      <w:pPr>
        <w:spacing w:after="0" w:line="24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GLASANJE</w:t>
      </w:r>
      <w:r w:rsidR="008F7613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</w:p>
    <w:p w:rsidR="00846D32" w:rsidRDefault="00311732" w:rsidP="003D2F12">
      <w:pPr>
        <w:spacing w:after="4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punomoćjem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ovlašćujem</w:t>
      </w:r>
    </w:p>
    <w:p w:rsidR="003C67BF" w:rsidRDefault="003C67BF" w:rsidP="003D2F12">
      <w:pPr>
        <w:spacing w:after="4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201AA6" w:rsidRPr="003C67BF" w:rsidRDefault="00201AA6" w:rsidP="003D2F12">
      <w:pPr>
        <w:spacing w:after="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___________________________________________________________________________________________________________________________________</w:t>
      </w:r>
      <w:r w:rsidR="00DF453D">
        <w:rPr>
          <w:rFonts w:ascii="Arial Narrow" w:hAnsi="Arial Narrow" w:cs="Arial"/>
          <w:b/>
          <w:noProof/>
          <w:sz w:val="16"/>
          <w:szCs w:val="16"/>
          <w:lang w:val="sr-Latn-CS"/>
        </w:rPr>
        <w:t>________________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jedinstveni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građana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pasoša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prebivalište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domaće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pradno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registracije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drugi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identifikacioni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strano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račun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potpisnika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sadržano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akcijama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emitenta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6A1EB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6E6DF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ukupno</w:t>
      </w:r>
      <w:r w:rsidR="006E6DF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__________</w:t>
      </w:r>
      <w:r w:rsidR="006E6DF9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običnih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ISIN broj </w:t>
      </w:r>
      <w:r w:rsidR="00CD3903" w:rsidRPr="003C67BF">
        <w:rPr>
          <w:rFonts w:ascii="Arial Narrow" w:eastAsia="Calibri" w:hAnsi="Arial Narrow" w:cs="Arial"/>
          <w:noProof/>
          <w:sz w:val="16"/>
          <w:szCs w:val="16"/>
          <w:lang w:val="sr-Latn-CS"/>
        </w:rPr>
        <w:t>RS</w:t>
      </w:r>
      <w:r w:rsidR="006A1EB2" w:rsidRPr="003C67BF">
        <w:rPr>
          <w:rFonts w:ascii="Arial Narrow" w:eastAsia="Calibri" w:hAnsi="Arial Narrow" w:cs="Arial"/>
          <w:noProof/>
          <w:sz w:val="16"/>
          <w:szCs w:val="16"/>
          <w:lang w:val="sr-Latn-CS"/>
        </w:rPr>
        <w:t>KIMLE32222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CFI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ESVUFR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6A1EB2" w:rsidRPr="003C67BF">
        <w:rPr>
          <w:rFonts w:ascii="Arial Narrow" w:hAnsi="Arial Narrow" w:cs="Arial"/>
          <w:noProof/>
          <w:sz w:val="16"/>
          <w:szCs w:val="16"/>
          <w:lang w:val="sr-Latn-CS"/>
        </w:rPr>
        <w:t>vanrednoj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Skupštini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22463D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zakazana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86903">
        <w:rPr>
          <w:rFonts w:ascii="Arial Narrow" w:hAnsi="Arial Narrow" w:cs="Arial"/>
          <w:b/>
          <w:noProof/>
          <w:sz w:val="16"/>
          <w:szCs w:val="16"/>
          <w:lang w:val="sr-Latn-CS"/>
        </w:rPr>
        <w:t>03.05.2017</w:t>
      </w:r>
      <w:r w:rsidR="008F7613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.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kojih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svaka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obična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emitenta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„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KIKINDSKI</w:t>
      </w:r>
      <w:r w:rsidR="0022463D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MLIN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“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</w:t>
      </w:r>
      <w:r w:rsidR="00CD3903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KIKINDA</w:t>
      </w:r>
      <w:r w:rsidR="0022463D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nosi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jedan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3D2F12" w:rsidRPr="003C67BF" w:rsidRDefault="003D2F12" w:rsidP="003D2F12">
      <w:pPr>
        <w:spacing w:after="0" w:line="36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</w:p>
    <w:p w:rsidR="00846D32" w:rsidRPr="003C67BF" w:rsidRDefault="00311732" w:rsidP="003D2F12">
      <w:pPr>
        <w:spacing w:after="0" w:line="360" w:lineRule="auto"/>
        <w:jc w:val="center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INSTRUKCIJE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UPUTSTVA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SVAKOJ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TAČKI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PREDLOŽENOG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DNEVNOG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REDA</w:t>
      </w: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dajem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sledeće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instrukcije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uputstva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tačkama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dnevnog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reda</w:t>
      </w:r>
    </w:p>
    <w:p w:rsidR="00846D32" w:rsidRPr="003C67BF" w:rsidRDefault="00846D32" w:rsidP="00B12E49">
      <w:pPr>
        <w:spacing w:after="6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Akcionar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daje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punomoćje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unosi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tačkama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dnevnog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reda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odgovor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„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“,“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PROTIV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“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“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UZDRŽAN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“,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svojeručnim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potpisom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pored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unete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reči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svaku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tačku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dnevnog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reda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daje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punomoćniku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instrukciju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i</w:t>
      </w:r>
      <w:r w:rsidR="0089042C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uputstvo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o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načinu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glasanja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po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tačkama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predloženog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dnevnog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reda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sednice</w:t>
      </w:r>
      <w:r w:rsidR="00F41441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8496"/>
        <w:gridCol w:w="1114"/>
        <w:gridCol w:w="1163"/>
      </w:tblGrid>
      <w:tr w:rsidR="00386903" w:rsidRPr="00265C0E" w:rsidTr="008E2D60">
        <w:trPr>
          <w:trHeight w:val="766"/>
        </w:trPr>
        <w:tc>
          <w:tcPr>
            <w:tcW w:w="8496" w:type="dxa"/>
            <w:vAlign w:val="center"/>
          </w:tcPr>
          <w:p w:rsidR="00386903" w:rsidRPr="00016A4E" w:rsidRDefault="00386903" w:rsidP="008E2D60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016A4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Tačke dnevnog reda</w:t>
            </w:r>
          </w:p>
        </w:tc>
        <w:tc>
          <w:tcPr>
            <w:tcW w:w="1114" w:type="dxa"/>
            <w:vAlign w:val="center"/>
          </w:tcPr>
          <w:p w:rsidR="00386903" w:rsidRPr="00265C0E" w:rsidRDefault="00386903" w:rsidP="008E2D60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Instrukcija i uputstvo za glasanje</w:t>
            </w:r>
          </w:p>
        </w:tc>
        <w:tc>
          <w:tcPr>
            <w:tcW w:w="1163" w:type="dxa"/>
            <w:vAlign w:val="center"/>
          </w:tcPr>
          <w:p w:rsidR="00386903" w:rsidRPr="00265C0E" w:rsidRDefault="00386903" w:rsidP="008E2D60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Svojeručni potpis aksionara koji daje punomoćje</w:t>
            </w:r>
          </w:p>
        </w:tc>
      </w:tr>
      <w:tr w:rsidR="00386903" w:rsidRPr="00E373DD" w:rsidTr="008E2D60">
        <w:trPr>
          <w:trHeight w:val="340"/>
        </w:trPr>
        <w:tc>
          <w:tcPr>
            <w:tcW w:w="8496" w:type="dxa"/>
            <w:vAlign w:val="center"/>
          </w:tcPr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hAnsi="Arial Narrow" w:cs="Arial"/>
                <w:sz w:val="18"/>
                <w:szCs w:val="18"/>
                <w:lang w:val="pt-PT"/>
              </w:rPr>
              <w:t xml:space="preserve">Donošenje Odluke o usvajanju Zapisnika sa redovne sednice Skupštine akcionara </w:t>
            </w:r>
            <w:r w:rsidRPr="00E373DD">
              <w:rPr>
                <w:rFonts w:ascii="Arial Narrow" w:hAnsi="Arial Narrow" w:cs="Arial"/>
                <w:sz w:val="18"/>
                <w:szCs w:val="18"/>
                <w:lang w:val="sr-Latn-CS"/>
              </w:rPr>
              <w:t>„Kikindski mlin“ AD Kikinda</w:t>
            </w:r>
            <w:r w:rsidRPr="00E373DD">
              <w:rPr>
                <w:rFonts w:ascii="Arial Narrow" w:hAnsi="Arial Narrow" w:cs="Arial"/>
                <w:sz w:val="18"/>
                <w:szCs w:val="18"/>
                <w:lang w:val="pt-PT"/>
              </w:rPr>
              <w:t xml:space="preserve"> od 29.06.2016. godine broj: 11/1.</w:t>
            </w:r>
          </w:p>
        </w:tc>
        <w:tc>
          <w:tcPr>
            <w:tcW w:w="1114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86903" w:rsidRPr="00E373DD" w:rsidTr="008E2D60">
        <w:trPr>
          <w:trHeight w:val="340"/>
        </w:trPr>
        <w:tc>
          <w:tcPr>
            <w:tcW w:w="8496" w:type="dxa"/>
            <w:vAlign w:val="center"/>
          </w:tcPr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b/>
                <w:sz w:val="18"/>
                <w:szCs w:val="18"/>
                <w:lang w:val="sr-Latn-CS" w:eastAsia="sr-Latn-CS"/>
              </w:rPr>
              <w:t>2</w:t>
            </w: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. Donošenje Odluke kojom se Skupštini akcionara “Kikindski mlin“ AD Kikinda predlaže donošenje Odluke o davanju naknadnog odobrenja za preduzete pravne radnje sticanja odnosno raspolaganja imovinom velike vrednosti po osnovu više zaključenih i međusobno povezanih ugovora i to: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2.1. </w:t>
            </w: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 xml:space="preserve">Aneksa broj 3 uz Ugovor o kratkoročnom kreditu kreditna partija broj 00-410-01115225 </w:t>
            </w:r>
            <w:r w:rsidRPr="00E373DD"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  <w:t>između „KOMERCIJALNE BANKE“ AD Beograd i „Kikindski mlin“ AD Kikinda kao korisnika kredita.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2.2. </w:t>
            </w: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 xml:space="preserve">Aneksa broj 3 uz Ugovor o kratkoročnom kreditu kreditna partija broj 00-410-0111423.7 </w:t>
            </w:r>
            <w:r w:rsidRPr="00E373DD"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  <w:t>između „KOMERCIJALNE BANKE“ AD Beograd i „Kikindski mlin“ AD Kikinda kao korisnika kredita.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2.3. </w:t>
            </w: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Aneksa Ugovora o zajmu između DIJAMANT AD ZRENJANIN kao ZAJMODAVAC i “Kikindski mlin” AD KIkinda kao ZAJMOPRIMAC na iznos od 2.000.000,00 EUR-a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  <w:t xml:space="preserve">2.4. </w:t>
            </w: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Aneksa II Ugovora o zajmu broj Z 01/12-2015 između “REMY TRADE” DOO Subotica kao zajmodavca i “KIKINDSKI MLIN” AD Kikinda kao zajmoprimca.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</w:pP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2.5. Aneksa II Ugovora o zajmu broj Z 02/12-2015 između “REMY TRADE” DOO Subotica kao zajmodavca i “KIKINDSKI MLIN” AD Kikinda kao zajmoprimca.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2.6. </w:t>
            </w: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Aneksa Ugovora o zajmu između FRIKOM DOO BEOGRAD kao ZAJMODAVAC i “Kikindski mlin” AD KIkinda kao ZAJMOPRIMAC na iznos od 2.089.517,51 EUR-a.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</w:pPr>
            <w:r w:rsidRPr="00E373DD"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  <w:t>2.7.</w:t>
            </w: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 xml:space="preserve"> Ugovora o zajmu između Dijamant AD Zrenjanin kao ZAJMODAVAC i “Kikindski mlin” AD KIkinda kao ZAJMOPRIMAC na iznos od 4.000.000,00 EUR-a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</w:pP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2.8. Ugovora o zajmu između INDUSTRIJE SMRZNUTE HRANE FRIKOM DOO BEOGRAD kao ZAJMODAVAC i “KIKINDSKI MLIN” AD KIKINDA kao ZAJMOPRIMAC na iznos od 1.557.000,00 EUR-a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</w:pP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2.9. Ugovora o zajmu između Dijamant AD Zrenjanin kao ZAJMODAVAC i “Kikindski mlin” AD KIkinda kao ZAJMOPRIMAC na iznos od 2.687.000,00 EUR-a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Times New Roman"/>
                <w:iCs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Times New Roman"/>
                <w:sz w:val="18"/>
                <w:szCs w:val="18"/>
                <w:lang w:val="en-AU" w:eastAsia="en-GB"/>
              </w:rPr>
              <w:t>2.10. Ugovora o zajmu između Dijamant AD Zrenjanin kao ZAJMODAVAC i “Kikindski mlin” AD KIkinda kao ZAJMOPRIMAC na iznos od 160.000,00 EUR-a</w:t>
            </w:r>
          </w:p>
        </w:tc>
        <w:tc>
          <w:tcPr>
            <w:tcW w:w="1114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86903" w:rsidRPr="00E373DD" w:rsidTr="008E2D60">
        <w:trPr>
          <w:trHeight w:val="340"/>
        </w:trPr>
        <w:tc>
          <w:tcPr>
            <w:tcW w:w="8496" w:type="dxa"/>
            <w:vAlign w:val="center"/>
          </w:tcPr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b/>
                <w:sz w:val="18"/>
                <w:szCs w:val="18"/>
                <w:lang w:val="sr-Latn-CS" w:eastAsia="sr-Latn-CS"/>
              </w:rPr>
              <w:t>3.</w:t>
            </w: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 Donošenje Odluke o podnošenju Skupštini akcionara “Kikindski mlin“ AD Kikinda Izveštaja o uslovima pod kojima je izvršeno sticanje odnosno raspolaganje imovinom velike vrednosti po osnovu više zaključenih i međusobno povezanih ugovora iz tačke 2.</w:t>
            </w:r>
          </w:p>
        </w:tc>
        <w:tc>
          <w:tcPr>
            <w:tcW w:w="1114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</w:tbl>
    <w:p w:rsidR="00386903" w:rsidRPr="00E373DD" w:rsidRDefault="00386903" w:rsidP="00386903">
      <w:pPr>
        <w:rPr>
          <w:rFonts w:ascii="Arial Narrow" w:hAnsi="Arial Narrow"/>
          <w:sz w:val="18"/>
          <w:szCs w:val="18"/>
        </w:rPr>
      </w:pPr>
      <w:r w:rsidRPr="00E373DD">
        <w:rPr>
          <w:rFonts w:ascii="Arial Narrow" w:hAnsi="Arial Narrow"/>
          <w:sz w:val="18"/>
          <w:szCs w:val="18"/>
        </w:rPr>
        <w:br w:type="page"/>
      </w:r>
    </w:p>
    <w:p w:rsidR="00386903" w:rsidRPr="00E373DD" w:rsidRDefault="00386903" w:rsidP="00386903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8496"/>
        <w:gridCol w:w="1114"/>
        <w:gridCol w:w="1163"/>
      </w:tblGrid>
      <w:tr w:rsidR="00386903" w:rsidRPr="00E373DD" w:rsidTr="008E2D60">
        <w:trPr>
          <w:trHeight w:val="766"/>
        </w:trPr>
        <w:tc>
          <w:tcPr>
            <w:tcW w:w="8496" w:type="dxa"/>
            <w:vAlign w:val="center"/>
          </w:tcPr>
          <w:p w:rsidR="00386903" w:rsidRPr="00E373DD" w:rsidRDefault="00386903" w:rsidP="008E2D60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E373DD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Tačke dnevnog reda</w:t>
            </w:r>
          </w:p>
        </w:tc>
        <w:tc>
          <w:tcPr>
            <w:tcW w:w="1114" w:type="dxa"/>
            <w:vAlign w:val="center"/>
          </w:tcPr>
          <w:p w:rsidR="00386903" w:rsidRPr="00E373DD" w:rsidRDefault="00386903" w:rsidP="008E2D60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E373DD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Instrukcija i uputstvo za glasanje</w:t>
            </w:r>
          </w:p>
        </w:tc>
        <w:tc>
          <w:tcPr>
            <w:tcW w:w="1163" w:type="dxa"/>
            <w:vAlign w:val="center"/>
          </w:tcPr>
          <w:p w:rsidR="00386903" w:rsidRPr="00E373DD" w:rsidRDefault="00386903" w:rsidP="008E2D60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E373DD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Svojeručni potpis aksionara koji daje punomoćje</w:t>
            </w:r>
          </w:p>
        </w:tc>
      </w:tr>
      <w:tr w:rsidR="00386903" w:rsidRPr="00E373DD" w:rsidTr="008E2D60">
        <w:trPr>
          <w:trHeight w:val="340"/>
        </w:trPr>
        <w:tc>
          <w:tcPr>
            <w:tcW w:w="8496" w:type="dxa"/>
            <w:vAlign w:val="center"/>
          </w:tcPr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  <w:t>4. Donošenje Odluke kojom se Skupštini akcionara “Kikindski mlin“ AD Kikinda predlaže donošenje Odluke o davanju naknadnog odobrenja za preduzete pravne radnje sticanja odnosno raspolaganja imovinom velike vrednosti po osnovu više zaključenih i međusobno povezanih ugovora i to: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  <w:t xml:space="preserve">4.1. Aneksa 1 uz Ugovor o solidarnom jemstvu br. 8884/2015-3 između „JUBMES BANKE“ AD Beograd i „Kikindski mlin“ AD Kikinda kao jemca placa 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  <w:t>4.2. Aneks br. 3 uz Ugovor o kratkoročnom kreditu kreditna partija br. 00-410-01116027 između „Komercijalne banke“ AD Beograd i „Dijamant“ AD Zrenjanin kao korisnika kredita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4.3. Ugovora o jemstvu broj: 5548/2016-3 između „JUBMES BANKE“ AD Beograd i „Kikindski mlin“ AD Kikinda kao JEMCA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4.4. Ugovora o kratkoročnom kreditu za finansiranje obrtnih sredstava br. 105312045269653084 između „AIK BANKE“ AD Beograd i „Kikindski mlin“ AD Kikinda kao SOLIDARNI DUŽNIK 2.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4.5. Ugovora o jemstvu broj: 3008/2016-3 između „JUBMES BANKE“ AD Beograd i „Kikindski mlin“ AD Kikinda kao JEMCA.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4.6. Ugovora o jemstvu broj: LC-J-08/16-2 između „EUROBANK“ AD Beograd i „Kikindski mlin“ AD Kikinda kao JEMCA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4.7. Ugovora o jemstvu između VAIT DOO DOO Novi Sad kao POVERIOCA i „Kikindski mlin“ AD Kikinda kao JEMCA.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4.8. Ugovora o založnom pravu na pokretnim stvarima između VAIT DOO Novi Sad kao POVERIOCA i „Kikindski mlin“ AD Kikinda kao JEMCA.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4.9. Ugovora o jemstvu uz Ugovor o kratkoročnom kreditu broj 00-410-01132847 između KOMERCIJALNE BANKE AD BEOGRAD i „KIKINDSKI MLIN“ AD KIKINDA kao JEMAC PLATAC.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4.10. Ugovora o jemstvu br. 7121/2016-3 između JUBMES BANKE AD BEOGRAD i „KIKINDSKI MLIN“ AD KIKINDA kao JEMACA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4.11. Ugovora o zalaganju imovine KIKINDSKI MLIN AD Kikinda u korist AGROMARKET DOO Kragujevac prema Ugovoru o jemstvu od dana 21.12.2016. godine između AGROMARKET DOO Kragujevac kao poverioca i KIKINDSKI MLIN AD Kikinda kao jemca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4.12. Ugovora o kratkoročnom kreditu za finansiranje obrtnih sredstava br. 105312045269828460 između „AIK BANKE“ AD Beograd i „Kikindski mlin“ AD Kikinda kao SOLIDARNI DUŽNIK 2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4.13. Ugovor o zalaganju imovine KIKINDSKI MLIN AD Kikinda po Ugovoru o zalozi sa Sberbank Srbija ad Beograd, Bulevar Mihaila Pupina 165g, matični broj 07792247, PIB 100000354 gde je Kikindski mlin AD Kikinda Zalogodavac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4.14. Zalaganje imovine KIKINDSKI MLIN AD Kikinda po Ugovoru o založnom pravu na pokretnim stvarima  sa REMY TRADE DOO SUBOTICA kao Založni poverilac  i KIKINDSKI MLIN AD KIKINDA kao Založni dužnik</w:t>
            </w:r>
          </w:p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4.15. Zalaganje imovine KIKINDSKI MLIN AD Kikinda po Ugovoru o zalozi broj 285-0000000168784-65/03 od 06.02.2017. godine i njemu pripadajućem Aneksu broj 1 od 06.04.2017. godine sa Sberbank Srbija ad Beograd, Bulevar Mihaila Pupina 165g, matični broj 07792247, PIB 100000354 gde je Kikindski mlin AD Kikinda Zalogodavac</w:t>
            </w:r>
          </w:p>
        </w:tc>
        <w:tc>
          <w:tcPr>
            <w:tcW w:w="1114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86903" w:rsidRPr="00E373DD" w:rsidTr="008E2D60">
        <w:trPr>
          <w:trHeight w:val="340"/>
        </w:trPr>
        <w:tc>
          <w:tcPr>
            <w:tcW w:w="8496" w:type="dxa"/>
            <w:vAlign w:val="center"/>
          </w:tcPr>
          <w:p w:rsidR="00386903" w:rsidRPr="00E373DD" w:rsidRDefault="00386903" w:rsidP="008E2D6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E373DD">
              <w:rPr>
                <w:rFonts w:ascii="Arial Narrow" w:eastAsia="Times New Roman" w:hAnsi="Arial Narrow" w:cs="Arial"/>
                <w:b/>
                <w:sz w:val="18"/>
                <w:szCs w:val="18"/>
                <w:lang w:val="sr-Latn-CS" w:eastAsia="sr-Latn-CS"/>
              </w:rPr>
              <w:t>5.</w:t>
            </w:r>
            <w:r w:rsidRPr="00E373DD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 Donošenje Odluke o podnošenju Skupštini akcionara “Kikindski mlin“ AD Kikinda Izveštaja o uslovima pod kojima je izvršeno sticanje odnosno raspolaganje imovinom velike vrednosti po osnovu više zaključenih i međusobno povezanih ugovora iz tačke 4.</w:t>
            </w:r>
          </w:p>
        </w:tc>
        <w:tc>
          <w:tcPr>
            <w:tcW w:w="1114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386903" w:rsidRPr="00E373DD" w:rsidRDefault="00386903" w:rsidP="008E2D60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</w:tbl>
    <w:p w:rsidR="00386903" w:rsidRDefault="00386903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</w:p>
    <w:p w:rsidR="00386903" w:rsidRDefault="00386903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</w:p>
    <w:p w:rsidR="00B12E49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delu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kome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nisam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instrukcije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naloge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izjavljujem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saglasan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gore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navedeni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račun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svojoj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savesti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 xml:space="preserve"> _</w:t>
      </w:r>
      <w:r w:rsidR="00B12E49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________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_______________________</w:t>
      </w:r>
      <w:r w:rsidR="009722CC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___________________</w:t>
      </w:r>
    </w:p>
    <w:p w:rsidR="00846D32" w:rsidRPr="003C67BF" w:rsidRDefault="00B12E49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                                                                                                         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svojeručan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potpis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lang w:val="sr-Latn-CS"/>
        </w:rPr>
        <w:t>/</w:t>
      </w:r>
    </w:p>
    <w:p w:rsidR="00F41441" w:rsidRPr="003C67BF" w:rsidRDefault="00F41441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lang w:val="sr-Latn-CS"/>
        </w:rPr>
      </w:pP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važi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isključivo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navedenu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sednicu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njen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eventualni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nastavak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ponavnanje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izdaje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overeno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overa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potpisa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</w:p>
    <w:p w:rsidR="00FF1CD7" w:rsidRPr="003C67BF" w:rsidRDefault="00B12E49" w:rsidP="00FF1CD7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________________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___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___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>.201</w:t>
      </w:r>
      <w:r w:rsidR="00386903">
        <w:rPr>
          <w:rFonts w:ascii="Arial Narrow" w:hAnsi="Arial Narrow" w:cs="Arial"/>
          <w:noProof/>
          <w:sz w:val="16"/>
          <w:szCs w:val="16"/>
          <w:lang w:val="sr-Latn-CS"/>
        </w:rPr>
        <w:t>7</w:t>
      </w:r>
      <w:r w:rsidR="00FF1CD7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.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godine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Mesto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datum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davanja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846D32" w:rsidP="00846D32">
      <w:pPr>
        <w:spacing w:after="0" w:line="240" w:lineRule="auto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FF1CD7" w:rsidRPr="003C67BF" w:rsidRDefault="00FF1CD7" w:rsidP="00846D32">
      <w:pPr>
        <w:spacing w:after="0" w:line="240" w:lineRule="auto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846D32" w:rsidRPr="003C67BF" w:rsidRDefault="00311732" w:rsidP="00846D32">
      <w:pPr>
        <w:spacing w:after="0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DAVALAC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-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Akcionar</w:t>
      </w:r>
    </w:p>
    <w:p w:rsidR="00B12E49" w:rsidRPr="003C67BF" w:rsidRDefault="00B12E49" w:rsidP="00B12E49">
      <w:pPr>
        <w:spacing w:before="120" w:after="12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____________________________________,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JMBG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MB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:_____________________;  </w:t>
      </w:r>
      <w:r w:rsidR="00311732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ul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. _________________________ </w:t>
      </w:r>
    </w:p>
    <w:p w:rsidR="00B12E49" w:rsidRPr="003C67BF" w:rsidRDefault="00311732" w:rsidP="00B12E49">
      <w:pPr>
        <w:spacing w:after="0" w:line="240" w:lineRule="auto"/>
        <w:jc w:val="both"/>
        <w:rPr>
          <w:rFonts w:ascii="Arial Narrow" w:hAnsi="Arial Narrow" w:cs="Arial"/>
          <w:b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br</w:t>
      </w:r>
      <w:r w:rsidR="00B12E49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. ______ ,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koga</w:t>
      </w:r>
      <w:r w:rsidR="00B12E49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>zastupa</w:t>
      </w:r>
      <w:r w:rsidR="00B12E49" w:rsidRPr="003C67BF">
        <w:rPr>
          <w:rFonts w:ascii="Arial Narrow" w:hAnsi="Arial Narrow" w:cs="Arial"/>
          <w:b/>
          <w:noProof/>
          <w:sz w:val="16"/>
          <w:szCs w:val="16"/>
          <w:lang w:val="sr-Latn-CS"/>
        </w:rPr>
        <w:t xml:space="preserve"> ________________________________________________</w:t>
      </w:r>
    </w:p>
    <w:p w:rsidR="00846D32" w:rsidRPr="003C67BF" w:rsidRDefault="00846D32" w:rsidP="00F41441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Uneti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: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jedinstveni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građana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lične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karte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fizičko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odnosno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poslovno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matični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prezime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zakonskog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zastupnika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zaposleno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organu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pravnog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846D32" w:rsidP="00846D32">
      <w:pPr>
        <w:spacing w:after="0" w:line="240" w:lineRule="auto"/>
        <w:ind w:left="720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846D32" w:rsidRPr="003C67BF" w:rsidRDefault="00311732" w:rsidP="00F41441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Imalac</w:t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>:</w:t>
      </w:r>
      <w:r w:rsidR="00B12E49" w:rsidRPr="003C67BF">
        <w:rPr>
          <w:rFonts w:ascii="Arial Narrow" w:hAnsi="Arial Narrow" w:cs="Arial"/>
          <w:noProof/>
          <w:sz w:val="16"/>
          <w:szCs w:val="16"/>
          <w:lang w:val="sr-Latn-CS"/>
        </w:rPr>
        <w:t>_______</w:t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                                                                         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_________________________________________________________</w:t>
      </w:r>
    </w:p>
    <w:p w:rsidR="00846D32" w:rsidRPr="003C67BF" w:rsidRDefault="00846D32" w:rsidP="001A1B91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Uneti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broj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poseduje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davalac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ab/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ab/>
      </w:r>
      <w:r w:rsidR="001A1B91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                                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Svojeručan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potpis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akcionara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daje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="00311732"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/</w:t>
      </w:r>
    </w:p>
    <w:p w:rsidR="00846D32" w:rsidRPr="003C67BF" w:rsidRDefault="00846D32" w:rsidP="00846D32">
      <w:pPr>
        <w:spacing w:after="0" w:line="240" w:lineRule="auto"/>
        <w:ind w:left="720"/>
        <w:jc w:val="both"/>
        <w:rPr>
          <w:rFonts w:ascii="Arial Narrow" w:hAnsi="Arial Narrow" w:cs="Arial"/>
          <w:i/>
          <w:noProof/>
          <w:sz w:val="16"/>
          <w:szCs w:val="16"/>
          <w:lang w:val="sr-Latn-CS"/>
        </w:rPr>
      </w:pPr>
    </w:p>
    <w:p w:rsidR="00386903" w:rsidRDefault="00386903">
      <w:pPr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</w:pPr>
      <w:r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  <w:br w:type="page"/>
      </w:r>
    </w:p>
    <w:p w:rsidR="00386903" w:rsidRDefault="00386903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</w:pPr>
    </w:p>
    <w:p w:rsidR="00846D32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</w:pPr>
      <w:r w:rsidRPr="003C67BF"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  <w:t>NAPOMENE</w:t>
      </w:r>
      <w:r w:rsidR="00846D32" w:rsidRPr="003C67BF">
        <w:rPr>
          <w:rFonts w:ascii="Arial Narrow" w:hAnsi="Arial Narrow" w:cs="Arial"/>
          <w:b/>
          <w:i/>
          <w:noProof/>
          <w:sz w:val="16"/>
          <w:szCs w:val="16"/>
          <w:u w:val="single"/>
          <w:lang w:val="sr-Latn-CS"/>
        </w:rPr>
        <w:t>: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određeno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njegovo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učestvuje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,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uključujući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njegovo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pogledu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učešća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ovlastio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propiše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posebne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uslove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ispunjava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ograničiti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njihov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broj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izdato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većem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broju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smatraće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ponaosob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pristupi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osnovu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će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prihvatiti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najkasnijim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datumom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imaju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najkasniji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datum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prihvati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samo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C511AC" w:rsidRPr="003C67BF" w:rsidRDefault="00311732" w:rsidP="00846D32">
      <w:pPr>
        <w:spacing w:after="0" w:line="240" w:lineRule="auto"/>
        <w:jc w:val="both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fizičko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overeno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uređuje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overu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potpisa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suprotnom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shodno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članu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344.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stav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7.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proizvodi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dejstvo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potpisano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kvalifikovanim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potpisom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uređuje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elektronski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potpis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pStyle w:val="BodyText2"/>
        <w:rPr>
          <w:rFonts w:ascii="Arial Narrow" w:hAnsi="Arial Narrow" w:cs="Arial"/>
          <w:noProof/>
          <w:sz w:val="16"/>
          <w:szCs w:val="16"/>
          <w:u w:val="single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dužni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dostave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najkasnije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tri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radna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sedištu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kopiji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uz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kopiju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dostave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original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uvid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sedište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društva</w:t>
      </w:r>
      <w:r w:rsidR="00B12E49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pStyle w:val="BodyText2"/>
        <w:rPr>
          <w:rFonts w:ascii="Arial Narrow" w:hAnsi="Arial Narrow" w:cs="Arial"/>
          <w:noProof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Uz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elektronskim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dostavlja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fotokopiju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važeće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lične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karte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ovlašćenog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>,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kod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pravnog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FF0655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fotokopiju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lične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karte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zakonskog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zastupnika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drugog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ovlašćenog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isključivo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član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organa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tog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pravnog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njegov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zaposleni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izvod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iz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APR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-</w:t>
      </w:r>
      <w:r w:rsidRPr="003C67BF">
        <w:rPr>
          <w:rFonts w:ascii="Arial Narrow" w:hAnsi="Arial Narrow" w:cs="Arial"/>
          <w:noProof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Strana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dostavljaju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originalno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original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prevoda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overena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lična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dokumenta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izvode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nadležnih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registara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zajedno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prevodom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strane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nadležnog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organa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RSbiji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Nakon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dužan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obavesti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načinu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koja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će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održati</w:t>
      </w:r>
      <w:r w:rsidR="006A0616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="00386903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0</w:t>
      </w:r>
      <w:r w:rsidR="0035242F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4</w:t>
      </w:r>
      <w:bookmarkStart w:id="0" w:name="_GoBack"/>
      <w:bookmarkEnd w:id="0"/>
      <w:r w:rsidR="00386903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.05.2017</w:t>
      </w:r>
      <w:r w:rsidR="008F7613" w:rsidRPr="003C67BF">
        <w:rPr>
          <w:rFonts w:ascii="Arial Narrow" w:hAnsi="Arial Narrow" w:cs="Arial"/>
          <w:b/>
          <w:noProof/>
          <w:color w:val="000000"/>
          <w:sz w:val="16"/>
          <w:szCs w:val="16"/>
          <w:lang w:val="sr-Latn-CS"/>
        </w:rPr>
        <w:t>.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godine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važi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eventualno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ponovljenu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nije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prenosivo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preko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zakonskog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zastupnika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drugog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posebno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isključivo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organa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pravnog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njegov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zaposleni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ispunjava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uslova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345.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("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Sl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RSrbije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",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36/2011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99/2011).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ovlašćeno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strane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više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kao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različito</w:t>
      </w:r>
      <w:r w:rsidR="00F25213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izmeni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opozove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svakom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trenutku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pisanim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putem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uslovom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tome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održavanja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obavesti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Izmena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opoziv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shodnom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primenom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odredaba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davanju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Smatra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opozvano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lično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pristupi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F414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Identifikacija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njihovih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prisustvuju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koji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učestvuju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njenom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350.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("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Sl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glasnik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RS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",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br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36/2011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99/2011)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Statuta</w:t>
      </w:r>
      <w:r w:rsidR="00D63885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sadrži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uputstva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naloge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ostvarivanje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dužan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postupa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njima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sadrži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uputstvo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dužan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savesno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najboljem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interesu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propisuje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obaveznu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upotrebu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ovog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formulara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davanje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Punomoćnik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odgovoran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štetu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akcionaru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ako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pravo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vrši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suprotnosti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odredbom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stava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14.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člana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344.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,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ta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odgovornost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može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unapred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naknadno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ograničiti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ili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isključiti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p w:rsidR="00846D32" w:rsidRPr="003C67BF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</w:pP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Formular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punomoćja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glasanje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narednoj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sednici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Skupštine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biće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objavljen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skladu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sa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Zakonom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o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privrednim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 xml:space="preserve"> </w:t>
      </w:r>
      <w:r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društvima</w:t>
      </w:r>
      <w:r w:rsidR="00846D32" w:rsidRPr="003C67BF">
        <w:rPr>
          <w:rFonts w:ascii="Arial Narrow" w:hAnsi="Arial Narrow" w:cs="Arial"/>
          <w:noProof/>
          <w:color w:val="000000"/>
          <w:sz w:val="16"/>
          <w:szCs w:val="16"/>
          <w:lang w:val="sr-Latn-CS"/>
        </w:rPr>
        <w:t>.</w:t>
      </w:r>
    </w:p>
    <w:sectPr w:rsidR="00846D32" w:rsidRPr="003C67BF" w:rsidSect="00846D32">
      <w:pgSz w:w="12240" w:h="15840" w:code="1"/>
      <w:pgMar w:top="851" w:right="76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3485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51D8"/>
    <w:multiLevelType w:val="hybridMultilevel"/>
    <w:tmpl w:val="7C5A2A34"/>
    <w:lvl w:ilvl="0" w:tplc="7EAE71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D32"/>
    <w:rsid w:val="00027A11"/>
    <w:rsid w:val="00040375"/>
    <w:rsid w:val="00074D13"/>
    <w:rsid w:val="00087C72"/>
    <w:rsid w:val="000C6534"/>
    <w:rsid w:val="000F066A"/>
    <w:rsid w:val="001A1B91"/>
    <w:rsid w:val="001C2E52"/>
    <w:rsid w:val="001E38C2"/>
    <w:rsid w:val="001F1A90"/>
    <w:rsid w:val="001F2F3B"/>
    <w:rsid w:val="001F3974"/>
    <w:rsid w:val="001F55C0"/>
    <w:rsid w:val="00201AA6"/>
    <w:rsid w:val="002211E5"/>
    <w:rsid w:val="0022463D"/>
    <w:rsid w:val="00240884"/>
    <w:rsid w:val="0024423D"/>
    <w:rsid w:val="00286634"/>
    <w:rsid w:val="00296626"/>
    <w:rsid w:val="002F6772"/>
    <w:rsid w:val="00311732"/>
    <w:rsid w:val="0035242F"/>
    <w:rsid w:val="0035270F"/>
    <w:rsid w:val="00370A62"/>
    <w:rsid w:val="003777C2"/>
    <w:rsid w:val="00386903"/>
    <w:rsid w:val="003C67BF"/>
    <w:rsid w:val="003D2F12"/>
    <w:rsid w:val="00407EB7"/>
    <w:rsid w:val="00421D37"/>
    <w:rsid w:val="00425860"/>
    <w:rsid w:val="004269C9"/>
    <w:rsid w:val="004A4FF2"/>
    <w:rsid w:val="00506AD2"/>
    <w:rsid w:val="0058578B"/>
    <w:rsid w:val="005971E0"/>
    <w:rsid w:val="005D174E"/>
    <w:rsid w:val="005D17CC"/>
    <w:rsid w:val="005D3BAD"/>
    <w:rsid w:val="005F1F9A"/>
    <w:rsid w:val="0062521B"/>
    <w:rsid w:val="0068234C"/>
    <w:rsid w:val="00693F56"/>
    <w:rsid w:val="006A0616"/>
    <w:rsid w:val="006A1EB2"/>
    <w:rsid w:val="006B47B9"/>
    <w:rsid w:val="006D2DDD"/>
    <w:rsid w:val="006E6DF9"/>
    <w:rsid w:val="006F499C"/>
    <w:rsid w:val="00705196"/>
    <w:rsid w:val="00720B51"/>
    <w:rsid w:val="007823AA"/>
    <w:rsid w:val="007940C0"/>
    <w:rsid w:val="007D6E8D"/>
    <w:rsid w:val="007E0A9B"/>
    <w:rsid w:val="00803168"/>
    <w:rsid w:val="008205FB"/>
    <w:rsid w:val="00845553"/>
    <w:rsid w:val="00846D32"/>
    <w:rsid w:val="00865A4F"/>
    <w:rsid w:val="00887525"/>
    <w:rsid w:val="0089042C"/>
    <w:rsid w:val="008B0266"/>
    <w:rsid w:val="008F1B51"/>
    <w:rsid w:val="008F7613"/>
    <w:rsid w:val="009722CC"/>
    <w:rsid w:val="0097755A"/>
    <w:rsid w:val="00A11F76"/>
    <w:rsid w:val="00AB0CD1"/>
    <w:rsid w:val="00AE4C4E"/>
    <w:rsid w:val="00B12E49"/>
    <w:rsid w:val="00B32321"/>
    <w:rsid w:val="00B83C59"/>
    <w:rsid w:val="00BA79D8"/>
    <w:rsid w:val="00BD271B"/>
    <w:rsid w:val="00BF7731"/>
    <w:rsid w:val="00C1021D"/>
    <w:rsid w:val="00C23C41"/>
    <w:rsid w:val="00C511AC"/>
    <w:rsid w:val="00C63CCE"/>
    <w:rsid w:val="00C73CED"/>
    <w:rsid w:val="00CD181A"/>
    <w:rsid w:val="00CD3903"/>
    <w:rsid w:val="00CE3940"/>
    <w:rsid w:val="00D276A7"/>
    <w:rsid w:val="00D3483C"/>
    <w:rsid w:val="00D572FD"/>
    <w:rsid w:val="00D63885"/>
    <w:rsid w:val="00D92785"/>
    <w:rsid w:val="00DD667C"/>
    <w:rsid w:val="00DF453D"/>
    <w:rsid w:val="00E2257E"/>
    <w:rsid w:val="00E40315"/>
    <w:rsid w:val="00E45A39"/>
    <w:rsid w:val="00E66F9C"/>
    <w:rsid w:val="00E841AB"/>
    <w:rsid w:val="00E97D62"/>
    <w:rsid w:val="00F25213"/>
    <w:rsid w:val="00F41441"/>
    <w:rsid w:val="00F42FD6"/>
    <w:rsid w:val="00F620EA"/>
    <w:rsid w:val="00F823DD"/>
    <w:rsid w:val="00F92074"/>
    <w:rsid w:val="00FC66F1"/>
    <w:rsid w:val="00FF065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5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5188-6D5B-4BD8-9711-B68755A2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88</cp:revision>
  <cp:lastPrinted>2016-02-03T15:03:00Z</cp:lastPrinted>
  <dcterms:created xsi:type="dcterms:W3CDTF">2012-11-01T08:25:00Z</dcterms:created>
  <dcterms:modified xsi:type="dcterms:W3CDTF">2017-04-10T09:37:00Z</dcterms:modified>
</cp:coreProperties>
</file>